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 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6"/>
        <w:contextualSpacing/>
        <w:ind w:left="4536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6"/>
        <w:numPr>
          <w:ilvl w:val="0"/>
          <w:numId w:val="0"/>
        </w:numPr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УТВЕРЖДЕНА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7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приказом министерства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7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жилищно-коммунального хозяйства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76"/>
        <w:ind w:left="4536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энергетики 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76"/>
        <w:ind w:left="453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от 09.04.2026 № 89-НПА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ind w:right="-2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ДОКУМЕНТАЦИЯ О ПРОВЕДЕНИИ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№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2.1-2026-ПО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предмету предварительного отбора «Оказание услуг по осуществлению строительного контроля»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г. Новосибирск, 2026 г.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</w:t>
      </w: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 xml:space="preserve">Орган по ведению реестра квалифицированных подрядных организаций (далее – Орган по ведению РКПО) – министерство жилищно-коммунального хозяйства и энергетики Новосибирской области.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</w:t>
        <w:tab/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7"/>
        <w:gridCol w:w="4117"/>
        <w:gridCol w:w="5097"/>
      </w:tblGrid>
      <w:tr>
        <w:tblPrEx/>
        <w:trPr>
          <w:trHeight w:val="887"/>
        </w:trPr>
        <w:tc>
          <w:tcPr>
            <w:shd w:val="clear" w:color="auto" w:fill="ffffff"/>
            <w:tcW w:w="697" w:type="dxa"/>
            <w:vAlign w:val="center"/>
            <w:textDirection w:val="lrTb"/>
            <w:noWrap w:val="false"/>
          </w:tcPr>
          <w:p>
            <w:pPr>
              <w:pStyle w:val="876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/>
            <w:tcW w:w="9214" w:type="dxa"/>
            <w:vAlign w:val="center"/>
            <w:textDirection w:val="lrTb"/>
            <w:noWrap w:val="false"/>
          </w:tcPr>
          <w:p>
            <w:pPr>
              <w:pStyle w:val="876"/>
              <w:jc w:val="center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Информация о проведении предварительного отбора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gridSpan w:val="3"/>
            <w:shd w:val="clear" w:color="auto" w:fill="ffffff"/>
            <w:tcW w:w="9911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1. Сведения об органе по ведению РКПО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</w:rPr>
            </w:r>
          </w:p>
        </w:tc>
      </w:tr>
      <w:tr>
        <w:tblPrEx/>
        <w:trPr>
          <w:trHeight w:val="887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Министерство жилищно-коммунального хозяйства и энергетики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Место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630091, г. Новосибирск, ул. Фрунзе, 5, оф. 639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5406793110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mingkh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@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nso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ru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85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телефона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 (383) 238-76-46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ffffff"/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fffff"/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Ф.И.О. контактного лица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Манске Инга Геннадьевна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887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Предмет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Оказание услуг по осуществлению строительного контроля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Номер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2.1-2026-ПО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1208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Официальный сайт, на котором размещена документация о проведении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http://www.mjkh.nso.ru/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887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Адрес сайта оператора электронной площадки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http://www.rts-tender.ru/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7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Период действия результатов предварительного отбора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89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Дата и время начала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89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Дата и время окончания срока подачи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30 апреля 2026 года,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09 часов 00 минут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6"/>
        </w:trPr>
        <w:tc>
          <w:tcPr>
            <w:tcW w:w="697" w:type="dxa"/>
            <w:textDirection w:val="lrTb"/>
            <w:noWrap w:val="false"/>
          </w:tcPr>
          <w:p>
            <w:pPr>
              <w:pStyle w:val="876"/>
              <w:jc w:val="both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4117" w:type="dxa"/>
            <w:textDirection w:val="lrTb"/>
            <w:noWrap w:val="false"/>
          </w:tcPr>
          <w:p>
            <w:pPr>
              <w:pStyle w:val="876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Дата окончания рассмотрения заявок на участие в предварительном отборе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097" w:type="dxa"/>
            <w:textDirection w:val="lrTb"/>
            <w:noWrap w:val="false"/>
          </w:tcPr>
          <w:p>
            <w:pPr>
              <w:pStyle w:val="876"/>
              <w:jc w:val="left"/>
              <w:spacing w:before="120" w:after="120" w:line="240" w:lineRule="auto"/>
              <w:widowControl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14 мая 2026 года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pStyle w:val="87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pStyle w:val="876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оказанию услуг и (или) выполнению работ по капитальному ремонту общего имущества в многоквартирном доме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pStyle w:val="876"/>
        <w:numPr>
          <w:ilvl w:val="0"/>
          <w:numId w:val="0"/>
        </w:numPr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3213"/>
        <w:gridCol w:w="6285"/>
      </w:tblGrid>
      <w:tr>
        <w:tblPrEx/>
        <w:trPr>
          <w:trHeight w:val="458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87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Требования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76"/>
              <w:jc w:val="center"/>
              <w:keepNext/>
              <w:spacing w:before="0" w:after="16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Описание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4"/>
          <w:tblHeader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87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Особые требования к оказанию услуг и (или) выполнению работ подрядной организаций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textDirection w:val="lrTb"/>
            <w:noWrap w:val="false"/>
          </w:tcPr>
          <w:p>
            <w:pPr>
              <w:pStyle w:val="876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Предметом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строительного контроля является проверка выполнения работ при капитальном ремонте общего имущества многоквартирного дома (далее – МКД) на соответствие требованиям действующего законодательства, проектной и подготовленной на ее основе рабочей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spacing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Строительный контроль осуществляется в соответствии с Градостроительным кодексом Российской Федерации, постановлением Правительства Российской Федерации от 21 июня 2010 года № 468 (ред. от 06.05.2024)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строительства», а также иной действующей нормативной правовой базой Российской Федерации в сфере строительного контроля.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87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Общие требования к оказанию услуг и (или) выполнению работ подрядной организацией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vAlign w:val="center"/>
            <w:textDirection w:val="lrTb"/>
            <w:noWrap w:val="false"/>
          </w:tcPr>
          <w:p>
            <w:pPr>
              <w:pStyle w:val="876"/>
              <w:ind w:right="-1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Строительный контроль осуществляется в соответствии с Методикой проведения строительного контроля при строительстве, реконструкции, капитал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ьном ремонте объектов капитального строительства СДОС-04-2009 (принята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20.07.2009 № 30-БНС).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76"/>
              <w:ind w:right="-1"/>
              <w:jc w:val="both"/>
              <w:spacing w:before="0" w:after="0" w:line="240" w:lineRule="auto"/>
              <w:tabs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Услуги по осуществлению строительного контроля оказываются в соответствии со следующими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нормами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законодательства Российской Федерации: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Градостроительный кодекс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Земельный кодекс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Жилищный кодекс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Федеральный закон от 30.12.2009 № 384-ФЗ «Технический регламент о безопасности зданий и сооружений»;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Федеральный закон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Федеральный закон Российской Федерации от 27.12.2002 № 184-ФЗ «О техническом регулировании»;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Федеральный закон Российской Федерации от 22.07.2008 № 123-Ф3 «Технический регламент о требованиях пожарной безопасности»;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ВСН 61-89(р) «Реконструкция и капитальный ремонт жилых домов. Нормы проектирования»;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МДС 13-1.99 «Инструкция о составе, порядке</w:t>
              <w:br/>
              <w:t xml:space="preserve">разработки, согласования и утверждения проектно-</w:t>
              <w:br/>
              <w:t xml:space="preserve">сметной документации на капитальный ремонт жилых</w:t>
              <w:br/>
              <w:t xml:space="preserve">зданий»;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21.101-2020 «Система проектной документации для строительства (СПДС). Основные требования к проектной и рабочей документации» (дата введения 01.01.2021);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31-110-2003 «Свод правил по проектированию и строительству. Проектирование и монтаж</w:t>
              <w:br/>
              <w:t xml:space="preserve">электроустановок жилых и общественных зданий»;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Правила устройства электроустановок, утвержденные приказом Министерства энергетики Российской Федерации от 08.07.2002 г. № 204;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31565-2012 «Межгосударственный стандарт. Кабельные изделия. Требования пожарной безопасности»;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76.13330.2016 «Свод правил. Электротехнические устройства. Актуализированная редакция СНиП 3.05.06-85»;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ГОСТ 31996-2012 «Кабели силовые с пластмассовой изоляцией на номинальное напряжение 0,66; 1 и 3 кВ. Общие технические условия»;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- Правила технической эксплуатации электроустановок потребителей электрической энергии, утвержденные приказом Министерства энергетики Российской Федерации от 12 августа 2022 года № 811;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20.13330.2016 «Нагрузки и воздействия. СНиП 2.01.07-85*» утвержденным приказом Минстроя России от 14.12.2023 № 918/пр;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Изменения № 1 к СП 95.13330.2016 «СНиП 2.03.02-86 Бетонные и железобетонные</w:t>
              <w:br/>
              <w:t xml:space="preserve">конструкции из плотного силикатного бетона», утвержденные приказом Минстроя России от 04.12.2023 № 863/пр;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56"/>
              <w:numPr>
                <w:ilvl w:val="0"/>
                <w:numId w:val="2"/>
              </w:numPr>
              <w:contextualSpacing/>
              <w:ind w:left="0" w:right="-1" w:firstLine="0"/>
              <w:jc w:val="both"/>
              <w:spacing w:before="0" w:after="0" w:line="240" w:lineRule="auto"/>
              <w:tabs>
                <w:tab w:val="left" w:pos="238" w:leader="none"/>
                <w:tab w:val="clear" w:pos="708" w:leader="none"/>
                <w:tab w:val="left" w:pos="6177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 СП 42-101-2003 «Свод правил по проектированию и строительству. Общие положения по проектированию и строительству газораспределительных систем из металлических и полиэтиленовых труб».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76"/>
              <w:ind w:right="-1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highlight w:val="white"/>
              </w:rPr>
              <w:t xml:space="preserve">Данный перечень нормативных правовых актов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highlight w:val="white"/>
              </w:rPr>
              <w:t xml:space="preserve">уточняется в документации об электронном аукционе.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4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3" w:type="dxa"/>
            <w:textDirection w:val="lrTb"/>
            <w:noWrap w:val="false"/>
          </w:tcPr>
          <w:p>
            <w:pPr>
              <w:pStyle w:val="876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к календарному плану оказания услуг и (или) выполнения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5" w:type="dxa"/>
            <w:vAlign w:val="center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Услуги должны оказываться в соответствии с прилагаемым к договору строительного подряда на оказание услуг по осуществлению строительного контроля (далее – договор) графиком оказания услуг.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76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</w:r>
      <w:r>
        <w:rPr>
          <w:rFonts w:ascii="Times New Roman" w:hAnsi="Times New Roman" w:eastAsia="Calibri" w:cs="Times New Roman"/>
          <w:bCs/>
          <w:sz w:val="24"/>
          <w:szCs w:val="24"/>
        </w:rPr>
      </w:r>
      <w:r>
        <w:rPr>
          <w:rFonts w:ascii="Times New Roman" w:hAnsi="Times New Roman" w:eastAsia="Calibri" w:cs="Times New Roman"/>
          <w:bCs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Сведения о существенных условиях договора строительного подряда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6"/>
        <w:gridCol w:w="2411"/>
        <w:gridCol w:w="7088"/>
      </w:tblGrid>
      <w:tr>
        <w:tblPrEx/>
        <w:trPr>
          <w:tblHeader/>
        </w:trPr>
        <w:tc>
          <w:tcPr>
            <w:shd w:val="clear" w:color="auto" w:fill="f2f2f2"/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2411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Условие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2f2f2"/>
            <w:tcW w:w="7088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 w:bidi="ar-SA"/>
              </w:rPr>
              <w:t xml:space="preserve">Описание условия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shd w:val="clear" w:color="auto" w:fill="f2f2f2"/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2411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f2f2f2"/>
            <w:tcW w:w="7088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Фонд модернизации и развития жилищно-коммунального хозяйства муниципальных образований Новосибирской области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32"/>
        </w:trPr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 договора строительного подряда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Предметом договора является оказание услуг по осуществлению строительного контроля.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 w:bidi="ar-SA"/>
              </w:rPr>
              <w:t xml:space="preserve">Оказание услуг по осуществлению строительного контроля, включает в себя следующий состав работ (услуг):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а) проверка полноты и соблюдения установленных сроков выполнения подрядной организацией входного контроля и достоверности документирования его результатов;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б) проверка выполнения подрядной организацией контрольных мероприятий по соблюдению правил складирования и хранения применяемой продукции и достоверности документирования его результатов;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в) проверка полноты 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соблюдения установленных сроков выполнения подрядной организацией контроля последовательности и состава технологических операций по осуществлению капитального ремонта общего имущества многоквартирных домов и достоверности документирования его результатов;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г) совместно с подрядной организацией освидетельствование скрытых работ и промежуточная приемка возведенных строительных конструкций, влияющих на безопасность объекта капитального ремонта, участков сетей инженерно-технического обеспечения;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д) проверка совместно с подрядной организацией соответствия законченного после капитального ремонта объекта требованиям проектной и подготовленной на ее основе рабочей документации, требованиям технических регламентов;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е) иные мероприятия в целях осуществления строительного контроля, предусмотренные законодательством Российской Федерации и (или) заключенным договором.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Работы (услуги) будут выполняться (оказываться) подрядной организацией в отношении объектов, указанных в ориентировочном адресном перечне, размещенном на сайте в информационно-коммуникационной сети «Интернет» </w:t>
            </w:r>
            <w:hyperlink r:id="rId16" w:tooltip="http://www.mjkh.nso.ru/page/724." w:history="1">
              <w:r>
                <w:rPr>
                  <w:rStyle w:val="909"/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http://www.mjkh.nso.ru/page/724.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/>
                <w:spacing w:val="-6"/>
                <w:sz w:val="24"/>
                <w:szCs w:val="24"/>
                <w:highlight w:val="white"/>
                <w:lang w:val="ru-RU" w:eastAsia="en-US" w:bidi="ar-SA"/>
              </w:rPr>
              <w:t xml:space="preserve">Указанные ориентировочные перечни могут быть скорректированы в соответствии с требованиями действующего жилищного законодательства.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108"/>
        </w:trPr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contextualSpacing/>
              <w:jc w:val="both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Выплата аванса по настоящему договору не производится.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contextualSpacing/>
              <w:jc w:val="both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 может быть увеличена по соглашению сторон в ходе его исполнения, но не более чем на 15 процентов в связи с пропорциональным увеличением объема выполнения работ.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contextualSpacing/>
              <w:jc w:val="both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Цена договора может быть снижена по соглашению сторон при уменьшении предусмотренных договором объемов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contextualSpacing/>
              <w:jc w:val="left"/>
              <w:spacing w:before="0" w:after="0" w:line="240" w:lineRule="auto"/>
              <w:widowControl/>
              <w:tabs>
                <w:tab w:val="left" w:pos="45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Изменение стоимости и объемов работ производится на основании решения общего собрания собственников помещений в многоквартирном доме при соблюдении положений, установленных частью 5 статьи 189 Жилищного кодекса Российской Федерации.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оплаты работ (услуг)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и сроки приемки выполненных работ (оказанных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Устанавливаются Заказчиком в документации об электронном аукционе.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Место выполнения работ (оказания услуг) устанавливается Заказчиком в документации о проведении электронного аукциона в пределах Новосибирской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Обеспечение исполнения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Исполнение обязательств по договору обеспечивается: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независимой гарантией, выданной в соответствии с требованиями, предусмотренными </w:t>
            </w:r>
            <w:hyperlink r:id="rId17" w:tooltip="consultantplus://offline/ref=1A5ACDC7DDF8F0887A5F947293FE2CE5F6F787A58646A3FC26F6FA80EC4498F2B4F4B29DE25C6665B142ABBE2349634291F5A8A8AAE2S3H" w:history="1">
              <w:r>
                <w:rPr>
                  <w:rFonts w:ascii="Times New Roman" w:hAnsi="Times New Roman" w:eastAsia="Calibri" w:cs="Times New Roman"/>
                  <w:sz w:val="24"/>
                  <w:szCs w:val="24"/>
                  <w:lang w:val="ru-RU" w:eastAsia="en-US" w:bidi="ar-SA"/>
                </w:rPr>
                <w:t xml:space="preserve">частью 1 статьи 45</w:t>
              </w:r>
            </w:hyperlink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 (далее - независимая гарантия);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обеспечительным платежом.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Способ обеспечения исполнения обязательств по договору определяется участником электронного аукциона, с которым заключается такой договор, самостоятельно из указанных в пункте 1 способов.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3. Размер обеспечения исполнения договора указывается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4. Размер обеспечения исполнения договора не может превышать 30 (тридцать) процентов начальной (максимальной) цены договора, указанной в извещении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5. Обеспечение исполнения договора может быть установлено в размере, превышающем в 2 раза размер обеспечения его исполнения, указанный в документаци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 о проведении электронного аукциона, в случае, если при проведении электронного аукциона участником закупки, с которым заключается договор строительного подряда, предложена цена, которая на 20 и более процентов ниже начальной (максимальной) цены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6. Независимая гарантия оформляется в письменной форме на бумажном носителе или в форме электронного документа, подписанного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усиленной квалифицированной электронной подписью лица, имеющего право действовать от имени организации, выдавшей независимую гарантию (далее - гарант), на условиях, определенных гражданским законодательством, и должна соответствовать следующим требованиям: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а) быть безотзывной;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б) требован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(или) в случае расторжения договора;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д) срок действия независимой гарантии должен превышать срок оказания услуг и (или) выполнения работ по договору не менее чем на 60 дней.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7. Заказчик вправе не устанавливать требование обеспечения исполнения договора при условии банковского сопровождения договора.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1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В документации о проведении электронного аукциона Заказчиком могут быть установлены дополнительные требования к обеспечению исполнения договора.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Гарантийный срок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ind w:left="34"/>
              <w:jc w:val="left"/>
              <w:spacing w:before="0" w:after="0" w:line="240" w:lineRule="auto"/>
              <w:widowControl w:val="off"/>
              <w:tabs>
                <w:tab w:val="left" w:pos="34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 Условия о гарантийном сроке определяются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8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 Срок предоставления гарантий на оказанные услуги и (или) выполненные работы не может быть менее 5 лет со дня подписания соответствующего акта о приемке оказанных услуг и (или) выполненных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7"/>
        </w:trPr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Ответственность Заказчика и подрядной организации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Условия договора, предусматривающие ответственность сторон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за неисполнение или ненадлежащее исполнение обязательств по такому договору, определяются в документации об электронном аукционе.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Порядок заключения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1. Договор заключается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казчиком в соответствии с Гражданским кодексом Российской Федерации и 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утвержденном постановлением Правительства Российской Федерации от 1 июля 2016 г. № 615 (далее – Положение).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ind w:left="34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2. Порядок заключения договора определяется Заказчиком в документации о проведении электронного аукциона.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93"/>
        </w:trPr>
        <w:tc>
          <w:tcPr>
            <w:tcW w:w="5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Другие существенные условия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7088" w:type="dxa"/>
            <w:textDirection w:val="lrTb"/>
            <w:noWrap w:val="false"/>
          </w:tcPr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1.Предмет договора, место проведения работ (услуг), сроки выполнения работ (услуг), продолжительность этапов выполнения работ (услуг), виды работ (услуг) не могут изменяться в ходе его исполнения, за исключением случаев, предусмотренных Положением.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2.При исполнении договора не допускается 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еремена подрядной организации, за исключением случаев, если новая подрядная организация является правопреемником подрядной организации по договору вследствие реорганизации юридического лица в порядке, предусмотренном законодательством Российской Федерации.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 Расторжение договора допускается: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а) по соглашению сторон;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б) по инициативе Заказчика, в том числе в виде одностороннего отказа от договора (основания такого расторжения устанавливаются в документации о проведении электронного аукциона);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в) по решению суда по основаниям, предусмотренным законодательством Российской Федерации.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Заказчик осуществляет расторжение договора в одностороннем порядке, в следующих случаях: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а) систематическое (2 раза и более) нарушение подрядной организацией сроков оказания услуг и (или) выполнения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б) задержка подрядной организацией начала оказания услуг и (или) выполнения работ более чем на 10 (десять) календарных дней по причинам, не зависящим от Заказчика или собственников помещений в многоквартирном доме;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в) неоднократное (2 раза и более в течение одного календарного месяца) несоблюдение (отступление от т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ребований, предусмотренных договором, проектной документацией, стандартами, нормами и правилами, а также иными действующими нормативными правовыми актами) подрядной организацией требований к качеству услуг и (или) работ и (или) технологии проведения работ;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г) неоднократное (2 раза и более в течение одного календарного месяца) использование некачественных материалов, изделий и конструкций, выявленных Заказчиком в соответствии с условиями договора строительного подряда;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д) прекращение членства подрядной организации в саморегулируемой организации, издание актов государственных органов в рамках законодательства Российской Федерации, лишающих права подрядную организацию на производство работ (оказание услуг);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е) нарушение подрядной организацией сроков оказания услуг и (или) выполнения работ продолжительностью более 30 (тридцати) календарных дней по любому из МКД;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ж) нарушение срока замены независимой гарантии, установленного договором, при отзыве лицензии, банкротстве или ликвидации гаранта более чем на 2 рабочих дня;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з) выявление Заказчи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ком после заключения договора факта недействительности представленной подрядной организацией независимой гарантии (представление поддельных документов, получение от гаранта опровержения выдачи независимой гарантии подрядной организации в письменной форме);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pStyle w:val="876"/>
              <w:jc w:val="left"/>
              <w:spacing w:before="0" w:after="0" w:line="240" w:lineRule="auto"/>
              <w:widowControl w:val="off"/>
              <w:tabs>
                <w:tab w:val="left" w:pos="600" w:leader="none"/>
                <w:tab w:val="clear" w:pos="708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и) неисполнение обязательства о продлении срока независимой гарантии при измен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ении сроков оказания услуг и (или) выполнения работ в связи с изменением по соглашению сторон сроков оказания услуг и (или) выполнения работ либо при нарушении подрядной организацией предусмотренных договором сроков оказания услуг и (или) выполнения работ.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pStyle w:val="876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участникам предварительного отбора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 проведении предварительного отбора по предмету последующего электронного аукциона «Оказание услуг по осуществлению строительного контроля», устанавливаются следующие требования к его участникам (далее – Участник):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членство в саморегулируемой организации в области строительства, реконстр</w:t>
      </w:r>
      <w:r>
        <w:rPr>
          <w:rFonts w:ascii="Times New Roman" w:hAnsi="Times New Roman" w:eastAsia="Calibri" w:cs="Times New Roman"/>
          <w:sz w:val="24"/>
          <w:szCs w:val="24"/>
        </w:rPr>
        <w:t xml:space="preserve">укции, капитального ремонта объектов капитального строительства При этом указанное требование не применяется к участникам предварительного отбора, являющимся лицами, указанными в пункте 1 части 2.2 статьи 52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отсутствие у Участника задолженности по уплате нал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огов, сборов и иных обязательных платежей в бюджеты бюджетной системы Российской Федерации за прошедший календарный год, за исключением случаев обжалования им задолженностей по обязательным платежам в бюджеты бюджетной системы Российской Федерации в соотве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тствии с законодательством Российской Федерации,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отсутствие у Участника за 3 года, предшествующие дате окончани</w:t>
      </w:r>
      <w:r>
        <w:rPr>
          <w:rFonts w:ascii="Times New Roman" w:hAnsi="Times New Roman" w:eastAsia="Calibri" w:cs="Times New Roman"/>
          <w:sz w:val="24"/>
          <w:szCs w:val="24"/>
        </w:rPr>
        <w:t xml:space="preserve">я срока подачи заявок на участие в предварительном отборе, контракта или договора, в том числе заключенного в соответствии с Положением, по строительству, реконструкции и (или) капитальному ремонту объектов капитального строительства, относящихся к той же </w:t>
      </w:r>
      <w:r>
        <w:rPr>
          <w:rFonts w:ascii="Times New Roman" w:hAnsi="Times New Roman" w:eastAsia="Calibri" w:cs="Times New Roman"/>
          <w:sz w:val="24"/>
          <w:szCs w:val="24"/>
        </w:rPr>
        <w:t xml:space="preserve">группе услуг и (или) работ, что и предмет предварительного отбора,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условий такого контракта или договора;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неприостановление деятельности Участника в порядке, предусмотренном Кодексом Российской Федерации об административных правонарушениях, на дату проведения предварительного отбора;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е) отсутствие конфликта интересов, то есть случаев, при которых руководитель Заказчика, член комиссии по проведению предварительного отбора, комиссии по осуществлению закупок, должн</w:t>
      </w:r>
      <w:r>
        <w:rPr>
          <w:rFonts w:ascii="Times New Roman" w:hAnsi="Times New Roman" w:eastAsia="Calibri" w:cs="Times New Roman"/>
          <w:sz w:val="24"/>
          <w:szCs w:val="24"/>
        </w:rPr>
        <w:t xml:space="preserve">остное лицо Заказчика,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либо являются близкими родственниками (родственниками по прямой восходящей и нисходящей линии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выгодоприобретателями понимаются физические лица, вл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адеющие напрямую или косвенно (через юридическое лицо или через несколько юридических лиц) более чем 10 (десятью) процентами голосующих акций хозяйственного общества либо долей, превышающей 10 (десять) процентов в уставном капитале хозяйственного общества;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 неприменение в отношении Участника – физического лица либо руководителя, членов коллеги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ального исполнительного органа или главного бухгалтера Участника –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з) отсутствие сведений об Участнике в реестре недобросовестных поставщиков (подрядчиков, исполнителей), ве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отсутствие сведений об Участнике в реестре недобросовестных подрядных организаций, ведение которого осуществляется федеральным органом исполнительной власти в порядке, установленном разделом VII Положения;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невозможность для Участника являться юридическим лицом, местом регистрации которого является государство или территория, включенные в утверждаемый в соответствии с подпунктом 1 пункта 3 статьи 284 Налог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в отношении юридических лиц;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л) наличие в штате у Участника работников, соответствующих установленным пунктом 1 части 6 статьи 55.5 Градостроительного кодекса Российско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й Федерации квалификационным требованиям, в количестве, установленном в Приложении № 3 к Документации о проведении предварительного отбора, но не ниже количества, установленного пунктом 2 части 6 статьи 55.5 Градостроительного кодекса Российской Федерации;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м) наличие у Участника за 3 года, предшествующие</w:t>
      </w:r>
      <w:r>
        <w:rPr>
          <w:rFonts w:ascii="Times New Roman" w:hAnsi="Times New Roman" w:eastAsia="Calibri" w:cs="Times New Roman"/>
          <w:sz w:val="24"/>
          <w:szCs w:val="24"/>
        </w:rPr>
        <w:t xml:space="preserve">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предметом которых </w:t>
      </w:r>
      <w:r>
        <w:rPr>
          <w:rFonts w:ascii="Times New Roman" w:hAnsi="Times New Roman" w:eastAsia="Calibri" w:cs="Times New Roman"/>
          <w:sz w:val="24"/>
          <w:szCs w:val="24"/>
        </w:rPr>
        <w:t xml:space="preserve">являлись строительство, реконструкция, капитальный ремонт зданий, являющихся объектами капитального строительства, ремонт (замена) лифтового оборудования, разработка проектной документации, в том числе по договорам, заключенным в соответствии с Положением;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н) отсутствие в отношении участника предварительного отбора решения об исключении подрядной организации из реестра квалифицированны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х подрядных организаций в случае установления одного из фактов, указанных в подпунктах "з" - "к" пункта 66 настоящего Положения, в течение года до даты рассмотрения заявок на участие в предварительном отборе комиссией по проведению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876"/>
        <w:ind w:left="108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содержанию, форме и составу заявки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 Участник должен подготовить Заявку по форме Приложения № 1 к Документации о проведении предварительного отбора, которая должна содержать полное наименование, сведения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 организационно-правовой форме, о месте нахождения, об адресе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гана участника предварительного отбора, - для юридического лица, или фамилию, имя, отчество, паспортные данные, сведения о месте жительства, номер контактного телефона - для физического лица, зарегистрированного в качестве индивидуального предпринимателя.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 Участник должен подписать Заявку усиленной квалифицированной электронной подписью.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4. В состав Заявки включаются следующие документы: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 выписка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Заявки,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выписка из Единого государственного реестра инд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Заявки, – для физического лица, зарегистрированного в качестве индивидуального предпринимателя;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 копии учредительных документов Участника – для юридического лица;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 копия засвидетельствованного в нотариальном порядке перевода на русский язык документо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полученная не ранее чем за 6 месяцев до дня подачи Заявки, – для иностранных лиц;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 документ, подтверждающий полномочия лица на осуществление действий от имени Участника;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д) копия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е) копия расчета по страховым взносам, представляемого плательщиками страховых взносов, составленного за последний отчетный период, предшествующий дате подачи заяв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документа;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ж)</w:t>
      </w:r>
      <w: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копия штатного расписания;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з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) штатно-списочный состав сотрудников (рекомендуется представлять в соответствии с формой, установленной в Приложении № 2 к Документации о проведении предварительного отбора);</w:t>
      </w:r>
      <w:r>
        <w:rPr>
          <w:highlight w:val="none"/>
        </w:rPr>
      </w:r>
      <w:r>
        <w:rPr>
          <w:highlight w:val="none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и) копии трудовых книжек и (или) сведения о трудовой деяте</w:t>
      </w:r>
      <w:r>
        <w:rPr>
          <w:rFonts w:ascii="Times New Roman" w:hAnsi="Times New Roman" w:eastAsia="Calibri" w:cs="Times New Roman"/>
          <w:sz w:val="24"/>
          <w:szCs w:val="24"/>
        </w:rPr>
        <w:t xml:space="preserve">льности, предусмотренные статьей 66.1 Трудового кодекса Российской Федерации, копии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персонала;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к) копии не менее 3 исполненных контрактов и (или) договоров, подтверждающих наличие у Участника предусмотренного подпунктом «п»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пункта 23 Положения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объеме.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Обобщенные сведения о наличии контрактов и (или) договоров и их выполнении рекомендуется представить по форме, установленной в Приложение № 4 к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л) согласие на обработку персональных данных в соответствии с Федеральным законом "О персональных данных" каждого работника, персональные данные которого содержатся в заявке на участие в предварительном отборе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white"/>
        </w:rPr>
        <w:t xml:space="preserve">(рекомендуется представлять в соответствии с формой, установленной в Приложении № 5 к Документации о проведении предварительного отбора)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sz w:val="24"/>
          <w:szCs w:val="24"/>
          <w:highlight w:val="white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876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подачи заявок 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 подачи Заявки Участник должен зарегистрироваться на сайте оператора электронной площадки в соответствии с регламентом работы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 Регистрация на электронной площадке, а также участие в предварительном отборе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 Заявка, а также все сведения и документы, которые входят в ее состав, подаются Участником через оператора электронной площадки в виде электронного документа в соответствии с правилами, установленными оператором электронной площадки.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 вправе подать только одну Заявку, пока она не рассмотрена в порядке, предусмотренном Документацией о проведении предварительного отбора, и по ней не принято решение об отказе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Участник, подавший Заявку, вправе ее изменить.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Внесение изменений в Заявку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должны быть подписаны усиленной квалифицированной электронной подписью.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8. В случае установления факта подачи одним Участником 2 (двух) и более Заявок при условии, что поданные ранее Заявки не отозваны, все Заявки такого Участника не рассматриваются.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 Заявка подается Участником не ранее даты, указанной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</w:t>
      </w:r>
      <w: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Заявки, поданные ранее даты и времени, указанные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отбора, не принимаются оператором электронной площадки и возвращаются Участнику.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 Каждая Заявка, поступившая в установленные сроки, регистрируется оператором электронной площадки, с присвоением порядкового номера.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12. Установленные дата и время окончания срока подачи Заявок могут быть продлены Органом по ведению РКПО в случаях, предусмотренных нормами действующего законодательства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и срок отзыва заявок на участие в предварительном отборе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Участник, подавший Заявку, вправе ее отозвать.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Заявка может быть отозвана до даты и времени окончания срока подачи Заявок, указанных в разделе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Документации о проведении предварительного отбора.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Отзыв Заявки осуществляется через сайт оператора электронной площадки,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Уведомление об отзыве Заявки должно быть подписано усиленной квалифицированной электронной подписью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left="142"/>
        <w:spacing w:before="0" w:after="0" w:line="240" w:lineRule="auto"/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87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ind w:left="360"/>
        <w:jc w:val="center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VIII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Форма, порядок, и сроки предоставления участникам предварительного отбора разъяснений положений Документации о проведении предварительного отбора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142"/>
        <w:jc w:val="center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Любое заинтересованное лицо вправе направить в орган по ведению РКПО запрос о разъяснении Документации о проведении предварительного отбора (далее – Запрос).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 направляется в виде электронного документа через сайт оператора электронной площадки в соответствии с регламентом работы электронной площадки.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left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Запросы принимаются до 23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апреля 2025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 В случае, если Запрос поступил в сроки, указанные в пункте 3 настоящего раздела, Орган по ведени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 РКПО в течение 3 (трех)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лица, от которого поступил Запрос.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 В случае если Запрос поступил позднее даты, указанной в пункте 3 настоящего раздела, данный Запрос не рассматривается Органом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6. Запрос должен быть подписан, усиленной квалифицированной электронной подписью лица, направившего Запрос.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left" w:pos="567" w:leader="none"/>
          <w:tab w:val="clear" w:pos="70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7. Ключи усиленных квалифицированных электронных подписей должны быть созданы и выданы удостоверяющими центрами, получившими аккредитацию на соответствие требованиям Федерального закона от 6 апреля 2011 года № 63-ФЗ «Об электронной подписи».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ind w:left="360"/>
        <w:jc w:val="center"/>
        <w:spacing w:before="0" w:after="0" w:line="240" w:lineRule="auto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IX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.</w:t>
      </w:r>
      <w:r>
        <w:rPr>
          <w:rFonts w:ascii="Times New Roman" w:hAnsi="Times New Roman" w:eastAsia="Calibri" w:cs="Times New Roman"/>
          <w:b/>
          <w:sz w:val="24"/>
          <w:szCs w:val="24"/>
          <w:lang w:val="en-US"/>
        </w:rPr>
        <w:t xml:space="preserve"> 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Порядок рассмотрения заявок на участие в предварительном отборе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numPr>
          <w:ilvl w:val="0"/>
          <w:numId w:val="5"/>
        </w:numPr>
        <w:ind w:left="142" w:hanging="360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Общие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Поступившие от Участников Заявки рассматриваются комиссией по проведению предварительного отбора (далее – Комиссия).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Комиссия, ее персональный состав, а также порядок ее работы утверждаются Органом по ведению РКПО до начала проведения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Комиссии, порядке ее деятельности, а также о дате, месте и времени рассмотрения Заявок Участников размещена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Участие в предварительном отборе и заседаниях Комиссии осуществляется без взимания платы с Участника.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Протоколы Комиссии, составленные в ходе рассмотрения Заявок, хранятся Органом по ведению РКПО не менее 3 (трех) лет.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Членами Комиссии не могут быть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заинтересованные лица либо лица, на которых способны оказать влияние Участники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предварительного отбора, либ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 физические лица, состоящие в браке с руководителем участника предварительного отбора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нородными (имеющими общих отца или мать) братьями и сестрами), усыновителями руководителя участника предварительного отбора или усыновленными им). В случае выявления в составе Комиссии указанных лиц Участник должен сообщить об этом Органу по ведению РКПО.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Включение в реестр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квалифицированных подрядных организаций информации об Участнике, исключение из него информации об Участнике, а также содержащаяся в реестре квалифицированных подрядных организаций информация могут быть обжалованы заинтересованным лицом в судебном порядке.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numPr>
          <w:ilvl w:val="0"/>
          <w:numId w:val="3"/>
        </w:numPr>
        <w:contextualSpacing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Порядок рассмотрения Заявок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contextualSpacing/>
        <w:ind w:left="319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Информация о дате, времени и месте рассмотрения Комиссий Заявки направляется подавшему ее Участнику через сайт оператора электронной площадки, а также размещается на сайте Органа по ведению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Любой Участник и (или) его представитель вправе участвовать в заседаниях Комиссии и осуществлять аудио- и (или) видеозаписи заседания Комиссии.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проведении предварительного отбора какие-либо переговоры о таком отборе между членами Комиссии и Участниками не допускаются. В случае нарушения указанного запрета проведение предварительного отбора может быть признано недействительным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Комиссия рассматривает Заявки и Участников на их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2.6.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основании результатов рассмотрения Заявок Комиссия принимает одно из следующих решений: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 включение Участника в реестр квалифицированных подрядных организаций;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отказ во включении Участника в реестр квалифицированных подрядных организаций.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2.7.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Решение Комиссии об отказе во включении Участника в реестр квалифицированных подрядных организаций принимается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Участника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несоответствие Заявки требованиям, установленным в Документации о проведении предварительного отбора;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установление факта представления Участником недостоверной информации (сведений, документов) в составе Заявки.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2.8.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Невключение в реестр квалифицированных подрядных организаций по иным основаниям, кроме случаев, указанных в пункте 2.7 настоящего Порядка, не допускается.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2.9.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Орган по ведению РКПО в течение 2 (двух) рабочих дней с даты принятия решения, указанного в подпункте «а» пункта 2.6 настоящего раздела, включает информацию об Участнике в РКПО.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Принятие решения о признании предварительного отбора несостоявшимся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ind w:left="142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Предварительный отбор признается Комиссией несостоявшимся в следующих случаях: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после установленных в Извещении даты и времени окончания срока подачи Заявок подана единственная Заявка или не подано ни одной Заявки;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принятия Комиссией решения о невключении в реестр квалифицированных подрядных организаций всех Участников, подавших Заявки до указанных в Извещении даты и времени окончания срока подачи Заявок.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признания предварительного отбора несостоявшимся Орган по ведению РКПО принимает решение об объявлении процедуры предварительного отбора повторно.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формация о принятом решении, указанном в пункте 3.1 и 3.2 настоящего раздела, размещается Органом по ведению РКПО на официальном сайте и сайте оператора электронной площадки, в течение 2 рабочих дней со дня признания предварительного отбора несостоявшимся.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если предварительный отбор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ризнан несостоявшимся в связи с подачей единственной Заявки и Участник, подавший такую Заявку, соответствует требованиям, установленным в Документации о проведении предварительного отбора, то он включается в реестр квалифицированных подрядных организаций.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left="142"/>
        <w:jc w:val="center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Протокол заседания Комиссии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993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4.1.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рассмотрения Заявок и принимаемые Комиссией решения, оформляются протоколом Комиссии, который подписывается всеми членами Комиссии, участвующими в заседании.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4.2.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Протокол оформляется и размещается Органом по ведению РКПО на официальном сайте и сайте оператора электронной площадки в течение 2 (двух) рабочих дней со дня его подписания.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4.3.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протоколе указывается информация о месте, дате и времени рассмотрения заявок на участие в предварительном отборе, номер предварительного отбора, наименование (для юридического лица), адрес электр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онной площадки в сети «Интернет», на которой проводится предварительный отбор, фамилия, имя, отчество (при наличии) (для физического лица, зарегистрированного в качестве индивидуального предпринимателя), адрес юридического лица и электронный адрес, идентиф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икационный номер налогоплательщика каждого участника предварительного отбора, наличие информации и документов, предусмотренных документацией о проведении предварительного отбора, состав членов комиссии, участвующих в рассмотрении заявок, принятые решения.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widowControl w:val="off"/>
        <w:tabs>
          <w:tab w:val="clear" w:pos="708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4.4. При принятии комиссией по предварительному отбору решения об отказе во включении участника предварительного отбора в реестр квалифицированных подрядных организаций в протоколе указывается обоснование такого решени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со ссылками на нормы Положения, которым не соответствует участник предварительного отбора, на положения документации о проведении предварительного отбора, которым не соответствует заявка этого участника, на документы, подтверждающие такое несоответствие.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4.5.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принятии Комиссией решения о включении Участника в реестр квалифицированных подрядных организаций в протоколе указывается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предельный размер обязательств участника предварительного отбора по обязательствам по договорам строительного подряда, заключаемым с использованием конкурентны</w:t>
      </w:r>
      <w:r>
        <w:rPr>
          <w:rFonts w:ascii="Times New Roman" w:hAnsi="Times New Roman" w:eastAsia="Calibri" w:cs="Times New Roman"/>
          <w:sz w:val="24"/>
          <w:szCs w:val="24"/>
        </w:rPr>
        <w:t xml:space="preserve">х способов заключения договоров, в соответствии с которым такой участник предварительного отбора, как член соответствующей саморегулируемой организации, внес взнос в компенсационный фонд обеспечения договорных обязательств, сформированный в соответствии с </w:t>
      </w:r>
      <w:hyperlink r:id="rId18" w:tooltip="consultantplus://offline/ref=A2283303C7D254AD7348380E740FF25A10E2ED22CEB7A37225481EC656EC239C45C4E1787FF2A849uEg7B" w:history="1">
        <w:r>
          <w:rPr>
            <w:rFonts w:ascii="Times New Roman" w:hAnsi="Times New Roman" w:eastAsia="Calibri" w:cs="Times New Roman"/>
            <w:sz w:val="24"/>
            <w:szCs w:val="24"/>
          </w:rPr>
          <w:t xml:space="preserve">частью 2 статьи 55.16</w:t>
        </w:r>
      </w:hyperlink>
      <w:r>
        <w:rPr>
          <w:rFonts w:ascii="Times New Roman" w:hAnsi="Times New Roman" w:eastAsia="Calibri" w:cs="Times New Roman"/>
          <w:sz w:val="24"/>
          <w:szCs w:val="24"/>
        </w:rPr>
        <w:t xml:space="preserve"> Градостроительного кодекса Российской Федерации.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5670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ЗАЯВКИ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НА УЧАСТИЕ В ПРЕДВАРИТЕЛЬНОМ ОТБОРЕ ПОДРЯДНЫХ ОРГАНИЗАЦИЙ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ИЗВЕЩЕНИЮ № ___ ОТ __________________*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ind w:left="584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584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«</w:t>
        <w:tab/>
        <w:t xml:space="preserve">      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______________ 2__ года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Изучив условия Извещения о проведении предварительного отбора подрядных организаций № __________ от __________, и принимая установленные в нём требования и условия,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(указывается полное наименование, организационно правовая форма участника предварительного отбора или ФИО индивидуального предпринимателя)</w:t>
      </w:r>
      <w:r>
        <w:rPr>
          <w:rFonts w:ascii="Times New Roman" w:hAnsi="Times New Roman" w:eastAsia="Calibri" w:cs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 в лице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(указывается фамилия, имя, отчество (при наличии) представителя участника предварительного отбора – юридического лица)    действующего на основании (указывается документ, на основании которого действует представитель юридического лица или физического лица)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просит рассмотреть заявку на участие в предварительном отборе подрядных организаций по предмету отбора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                      (указывается предмет предварительного отбора) .</w:t>
      </w:r>
      <w:r>
        <w:rPr>
          <w:rFonts w:ascii="Times New Roman" w:hAnsi="Times New Roman" w:eastAsia="Calibri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Документация о проведении предварительного отбора изучена в полном объеме и признана полной и достаточной для подготовки настоящей Заявки.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firstLine="709"/>
        <w:jc w:val="both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гарантируем достоверность представленной информации и подтверждаем право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(указывается наименование органа по ведению реестра квалифицированных подрядных организаций)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получать в открытых информационных источниках, в уполномоченных органах власти информацию, уточняющую представленные нами в заявке сведения.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709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Сообщаем о себе следующее: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Полное наименование организации и сведения об организационно-правовой форме (или Фамилия Имя Отчество (при наличии отчества) для индивидуального предпринимателя): 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юридического лица (или адрес места жительства – для индивидуального предпринимателя):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для почтовых отправлений: 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Телефон:_________________________________________________________________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Адрес электронной почты: _________________________________________________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jc w:val="both"/>
        <w:spacing w:before="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Учредители - полное наименование юридического лица и его организационно правовая форма (или ФИО для учредителя – физического лица)/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членов коллегиального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__________________________________/ИНН 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единоличного исполнительного органа/ ИНН: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____________________________________/ИНН____________________________________,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ФИО лиц, уполномоченных действовать от имени участника предварительного отбора: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а)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б)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spacing w:before="0" w:after="12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г) ____________________________________________;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numPr>
          <w:ilvl w:val="0"/>
          <w:numId w:val="1"/>
        </w:numPr>
        <w:ind w:left="0" w:firstLine="0"/>
        <w:jc w:val="both"/>
        <w:spacing w:before="120" w:after="0" w:line="240" w:lineRule="auto"/>
        <w:tabs>
          <w:tab w:val="left" w:pos="284" w:leader="none"/>
          <w:tab w:val="clear" w:pos="708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Настоящим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          (указывается полное наименование и организационно-правовая форма юридического лица или Фамилия Имя Отчество (при наличии отчества) для индивидуального предпринимателя)       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подтверждает соответствие требованиям, установленным в Документации о проведении предварительного отбора.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850"/>
        <w:jc w:val="both"/>
        <w:spacing w:before="0" w:after="0" w:line="240" w:lineRule="auto"/>
        <w:tabs>
          <w:tab w:val="left" w:pos="284" w:leader="none"/>
          <w:tab w:val="clear" w:pos="708" w:leader="none"/>
          <w:tab w:val="left" w:pos="993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i/>
          <w:sz w:val="24"/>
          <w:szCs w:val="24"/>
          <w:u w:val="single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Приложения: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4 раздела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  <w:lang w:val="en-US"/>
        </w:rPr>
        <w:t xml:space="preserve">V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  <w:t xml:space="preserve"> Документации). </w:t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</w:r>
      <w:r>
        <w:rPr>
          <w:rFonts w:ascii="Times New Roman" w:hAnsi="Times New Roman" w:eastAsia="Calibri" w:cs="Times New Roman"/>
          <w:i/>
          <w:sz w:val="24"/>
          <w:szCs w:val="24"/>
          <w:u w:val="single"/>
        </w:rPr>
      </w:r>
    </w:p>
    <w:p>
      <w:pPr>
        <w:pStyle w:val="876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i/>
          <w:sz w:val="24"/>
          <w:szCs w:val="24"/>
        </w:rPr>
      </w:pP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  <w:r>
        <w:rPr>
          <w:rFonts w:ascii="Times New Roman" w:hAnsi="Times New Roman" w:eastAsia="Calibri" w:cs="Times New Roman"/>
          <w:i/>
          <w:sz w:val="24"/>
          <w:szCs w:val="24"/>
        </w:rPr>
      </w:r>
    </w:p>
    <w:p>
      <w:pPr>
        <w:pStyle w:val="87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6379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1134" w:left="1418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ind w:left="5812"/>
        <w:jc w:val="right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2 </w:t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both"/>
        <w:spacing w:before="12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center"/>
        <w:spacing w:before="0"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ФОРМА ШТАТНО-СПИСОЧНОГО СОСТАВА СОТРУДНИКОВ 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pStyle w:val="876"/>
        <w:jc w:val="center"/>
        <w:spacing w:before="0" w:after="12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876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Участник предварительного отбора подрядных организаций: 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u w:val="single"/>
          <w:lang w:eastAsia="ru-RU"/>
        </w:rPr>
        <w:t xml:space="preserve">(указывается полное наименование и организационно правовая форма для юридического лица или Фамилия, Имя, Отчество (при наличии отчества) для индивидуального предпринимателя) </w:t>
      </w:r>
      <w:r>
        <w:rPr>
          <w:rFonts w:ascii="Times New Roman" w:hAnsi="Times New Roman" w:eastAsia="Times New Roman" w:cs="Times New Roman"/>
          <w:bCs/>
          <w:sz w:val="24"/>
          <w:szCs w:val="24"/>
          <w:u w:val="single"/>
          <w:lang w:eastAsia="ru-RU"/>
        </w:rPr>
        <w:t xml:space="preserve">       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4614" w:type="dxa"/>
        <w:tblInd w:w="41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701"/>
        <w:gridCol w:w="2977"/>
        <w:gridCol w:w="3118"/>
        <w:gridCol w:w="2990"/>
      </w:tblGrid>
      <w:tr>
        <w:tblPrEx/>
        <w:trPr>
          <w:trHeight w:val="1964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ind w:firstLine="43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Фамилия, имя, отчество работника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76"/>
              <w:ind w:right="10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Общий трудовой стаж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76"/>
              <w:ind w:right="102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(лет)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включении в реестр специалистов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pStyle w:val="876"/>
              <w:spacing w:before="0" w:after="160"/>
            </w:pPr>
            <w:r/>
            <w:r/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Наличие необходимых сертификатов, лицензий, наличие удостоверений по соответствующим допускам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57"/>
        </w:trPr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876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7" w:type="dxa"/>
            <w:textDirection w:val="lrTb"/>
            <w:noWrap w:val="false"/>
          </w:tcPr>
          <w:p>
            <w:pPr>
              <w:pStyle w:val="876"/>
              <w:ind w:right="-37"/>
              <w:jc w:val="center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77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8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0" w:type="dxa"/>
            <w:textDirection w:val="lrTb"/>
            <w:noWrap w:val="false"/>
          </w:tcPr>
          <w:p>
            <w:pPr>
              <w:pStyle w:val="876"/>
              <w:ind w:right="-37"/>
              <w:spacing w:before="0" w:after="160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Примечание: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Данные формируются в разрезе каждого сотрудника, удовлетворяющего требованиям к минимальному количеству квалифицированного персонала, установленным органом по ведению реестра квалифицированных подрядных организаций в пункте «л» раздела </w:t>
      </w:r>
      <w:r>
        <w:rPr>
          <w:rFonts w:ascii="Times New Roman" w:hAnsi="Times New Roman" w:eastAsia="Times New Roman" w:cs="Times New Roman"/>
          <w:i/>
          <w:sz w:val="24"/>
          <w:szCs w:val="24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V Документации.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Табличная форма включает в себя следующие данные: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«№ п/п» указывается номер строки по порядку;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«Фамилия, имя, отчество работника» указываются фамилия имя и отчество (при наличии отчества) сотрудника;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«Образование» указываются сведения об образовании и полученной специальности сотрудника, соответствующие данным предоставляемого диплома или другого документа об образовании;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 в графе «Должность» указываются сведения о должности сотрудника, занимаемой в данной организации, соответствующие сведениям трудового договора;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«Общий трудовой стаж по профессии, специальности или направлению подготовки в области строительства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(лет)» указываются сведения о стаже работы сотрудника в сфере строительства, которые должны соответствовать сведениям в документах, предоставляемых участником предварительного отбора (трудовым книжкам, дипломам, трудовым договорам);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«О включении в реестр специалистов)» - ук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азываются сведения о наличии специалистов по организации инженерных изысканий (главных инженеров проектов), специалистов по организации архитектурно-строительного проектирования (главных инженеров проектов, главных архитекторов проектов), специалистов по о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рганизации строительства (главных инженеров проектов), сведения о которых включены в национальные реестры специалистов, предусмотренные статьей 55.5-1 Градостроительного кодекса Российской Федерации, - не менее чем два специалиста по месту основной работы;</w:t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- в графе «Наличие необходимых сертификатов, лицензий,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удостоверений» указываются сведения об имеющихся у сотрудника сертификатах, разрешений и пр. документов, подтверждающих соответствие персонала участника предварительного отбора требованиям органа по ведению реестра квалифицированных подрядных организаций.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firstLine="709"/>
        <w:jc w:val="right"/>
        <w:spacing w:before="0" w:after="0" w:line="240" w:lineRule="auto"/>
      </w:pPr>
      <w:r>
        <w:rPr>
          <w:rFonts w:ascii="Times New Roman" w:hAnsi="Times New Roman" w:eastAsia="Calibri" w:cs="Times New Roman"/>
          <w:sz w:val="24"/>
          <w:szCs w:val="24"/>
        </w:rPr>
        <w:t xml:space="preserve">Приложение № 3</w:t>
      </w:r>
      <w:r/>
    </w:p>
    <w:p>
      <w:pPr>
        <w:pStyle w:val="876"/>
        <w:ind w:firstLine="709"/>
        <w:jc w:val="right"/>
        <w:spacing w:before="0" w:after="0" w:line="240" w:lineRule="auto"/>
      </w:pPr>
      <w:r/>
      <w:r/>
    </w:p>
    <w:p>
      <w:pPr>
        <w:pStyle w:val="876"/>
        <w:ind w:firstLine="709"/>
        <w:jc w:val="center"/>
        <w:spacing w:before="0" w:after="0" w:line="240" w:lineRule="auto"/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ТРЕБОВАНИЯ К МИНИМАЛЬНОМУ КОЛИЧЕСТВУ КВАЛИФИЦИРОВАННОГО ПЕРСОНАЛА, ВХОДЯЩЕГО В ШТАТ УЧАСТНИКА</w:t>
      </w:r>
      <w:r/>
    </w:p>
    <w:tbl>
      <w:tblPr>
        <w:tblW w:w="147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4"/>
        <w:gridCol w:w="3066"/>
        <w:gridCol w:w="3650"/>
        <w:gridCol w:w="2577"/>
        <w:gridCol w:w="1639"/>
        <w:gridCol w:w="3112"/>
      </w:tblGrid>
      <w:tr>
        <w:tblPrEx/>
        <w:trPr>
          <w:trHeight w:val="1574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Образование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Стаж работы по специальности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Количество человек, не менее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Требование по включению в реестр специалистов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>
          <w:trHeight w:val="561"/>
        </w:trPr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shd w:val="clear" w:color="ffffff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Индивидуальный предприниматель/руководитель юридического лица, самостоятельно организующие строительство</w:t>
            </w:r>
            <w:r/>
          </w:p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Не менее 5 лет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highlight w:val="yellow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  <w:r>
              <w:rPr>
                <w:rFonts w:ascii="Times New Roman" w:hAnsi="Times New Roman" w:eastAsia="Calibri" w:cs="Times New Roman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Работник индивидуального предпринимателя/ юридического лица – специалист по организации строительства (главный инженер проектов)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50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Высшее образование по профессии, специальности или направлению подготовки в области строительства</w:t>
            </w:r>
            <w:r/>
          </w:p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876"/>
              <w:spacing w:before="0" w:after="1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/>
          </w:p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по основному месту работы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2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Сведения о специалисте должны быть включены в национальный реестр специалистов в области строительства.</w:t>
            </w:r>
            <w:r/>
          </w:p>
          <w:p>
            <w:pPr>
              <w:pStyle w:val="876"/>
              <w:jc w:val="both"/>
              <w:spacing w:before="0" w:after="0" w:line="240" w:lineRule="auto"/>
            </w:pPr>
            <w:r/>
            <w:r/>
          </w:p>
          <w:p>
            <w:pPr>
              <w:pStyle w:val="876"/>
              <w:jc w:val="both"/>
              <w:spacing w:before="0" w:after="0" w:line="240" w:lineRule="auto"/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pStyle w:val="876"/>
        <w:ind w:firstLine="709"/>
        <w:jc w:val="both"/>
        <w:spacing w:before="0" w:after="0" w:line="240" w:lineRule="auto"/>
      </w:pPr>
      <w:r/>
      <w:r/>
    </w:p>
    <w:p>
      <w:pPr>
        <w:pStyle w:val="876"/>
        <w:rPr>
          <w:rFonts w:ascii="Times New Roman" w:hAnsi="Times New Roman" w:eastAsia="Calibri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</w:r>
    </w:p>
    <w:p>
      <w:pPr>
        <w:pStyle w:val="876"/>
        <w:ind w:firstLine="709"/>
        <w:jc w:val="both"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rPr>
          <w:rFonts w:ascii="Times New Roman" w:hAnsi="Times New Roman" w:eastAsia="Calibri" w:cs="Times New Roman"/>
          <w:sz w:val="24"/>
          <w:szCs w:val="24"/>
        </w:rPr>
        <w:sectPr>
          <w:headerReference w:type="default" r:id="rId10"/>
          <w:headerReference w:type="first" r:id="rId11"/>
          <w:footnotePr/>
          <w:endnotePr/>
          <w:type w:val="nextPage"/>
          <w:pgSz w:w="16838" w:h="11906" w:orient="landscape"/>
          <w:pgMar w:top="1418" w:right="1134" w:bottom="567" w:left="1134" w:header="708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eastAsia="Calibri" w:cs="Times New Roman"/>
          <w:sz w:val="24"/>
          <w:szCs w:val="24"/>
        </w:rPr>
      </w:r>
      <w:r>
        <w:br w:type="page" w:clear="all"/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Style w:val="876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КОНТРАКТОВ И (ИЛИ) ДОГОВОРОВ, ПОДТВЕРЖДАЮЩИХ НАЛИЧИЕ У УЧАСТНИКА ПРЕДВАРИТЕЛЬНОГО ОТБОРА ОПЫТА ОКАЗАНИЯ УСЛУГ И (ИЛИ) ВЫПОЛНЕНИЯ РАБОТ, АНАЛОГИЧНЫХ ПРЕДМЕТУ ПРЕДВАРИТЕЛЬНОГО ОТБОРА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56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1"/>
        <w:gridCol w:w="1849"/>
        <w:gridCol w:w="1955"/>
        <w:gridCol w:w="1956"/>
        <w:gridCol w:w="2826"/>
        <w:gridCol w:w="2593"/>
        <w:gridCol w:w="2786"/>
      </w:tblGrid>
      <w:tr>
        <w:tblPrEx/>
        <w:trPr>
          <w:trHeight w:val="2632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заключения и номер контракта и (или) договора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Установленный срок оказания услуг и (или) выполнения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Первоначальная стоимость услуг и (или) работ,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Наименование, дата и номер актов приемки оказанных услуг и (или) выполненных работ по контракту и (или) договору или иных документов, подтверждающих приемку услуг и (или)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Окончательная стоимость услуг и (или) работ (согласно актам приемки оказанных услуг и (или) выполненных работ), рублей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Наличие подтверждения приемки заказчиком услуг и (или) работ по контракту и (или) договору, оказанных и (или) выполненных в полном объеме (наличие/отсутствие подписи заказчика о приемке)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6"/>
        </w:trPr>
        <w:tc>
          <w:tcPr>
            <w:shd w:val="clear" w:color="auto" w:fill="d9d9d9" w:themeFill="background1" w:themeFillShade="D9"/>
            <w:tcW w:w="601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849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5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95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82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593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786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>
          <w:trHeight w:val="540"/>
        </w:trPr>
        <w:tc>
          <w:tcPr>
            <w:tcW w:w="601" w:type="dxa"/>
            <w:textDirection w:val="lrTb"/>
            <w:noWrap w:val="false"/>
          </w:tcPr>
          <w:p>
            <w:pPr>
              <w:pStyle w:val="876"/>
              <w:jc w:val="center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9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5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195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82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  <w:tc>
          <w:tcPr>
            <w:tcW w:w="2786" w:type="dxa"/>
            <w:textDirection w:val="lrTb"/>
            <w:noWrap w:val="false"/>
          </w:tcPr>
          <w:p>
            <w:pPr>
              <w:pStyle w:val="876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  <w:lang w:val="ru-RU" w:eastAsia="en-US" w:bidi="ar-SA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highlight w:val="cyan"/>
              </w:rPr>
            </w:r>
          </w:p>
        </w:tc>
      </w:tr>
    </w:tbl>
    <w:p>
      <w:pPr>
        <w:pStyle w:val="876"/>
        <w:jc w:val="both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418" w:right="1134" w:bottom="567" w:left="1134" w:header="0" w:footer="0" w:gutter="0"/>
          <w:cols w:num="1" w:sep="0" w:space="1701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ab/>
        <w:tab/>
        <w:tab/>
      </w:r>
      <w: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spacing w:before="0" w:after="160"/>
        <w:shd w:val="nil" w:color="00000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jc w:val="right"/>
        <w:spacing w:before="0"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76"/>
        <w:ind w:left="5812"/>
        <w:jc w:val="right"/>
        <w:spacing w:before="0" w:after="0" w:line="240" w:lineRule="auto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pStyle w:val="876"/>
        <w:jc w:val="center"/>
        <w:rPr>
          <w:rFonts w:ascii="Times New Roman" w:hAnsi="Times New Roman" w:cs="Times New Roman"/>
          <w:b/>
          <w:bCs/>
          <w:highlight w:val="none"/>
        </w:rPr>
      </w:pPr>
      <w:r>
        <w:rPr>
          <w:rFonts w:ascii="Times New Roman" w:hAnsi="Times New Roman" w:eastAsia="Times New Roman" w:cs="Times New Roman"/>
          <w:b/>
          <w:bCs/>
        </w:rPr>
        <w:t xml:space="preserve">СОГЛАСИЕ НА ОБРАБОТКУ ПЕРСОНАЛЬНЫХ ДАННЫХ В СООТВЕТСТВИИ С ФЕДЕРАЛЬНЫМ ЗАКОНОМ «О ПЕРСОНАЛЬНЫХ ДАННЫХ» </w:t>
      </w:r>
      <w:r>
        <w:rPr>
          <w:rFonts w:ascii="Times New Roman" w:hAnsi="Times New Roman" w:cs="Times New Roman"/>
          <w:b/>
          <w:bCs/>
          <w:highlight w:val="none"/>
        </w:rPr>
      </w:r>
      <w:r>
        <w:rPr>
          <w:rFonts w:ascii="Times New Roman" w:hAnsi="Times New Roman" w:cs="Times New Roman"/>
          <w:b/>
          <w:bCs/>
          <w:highlight w:val="none"/>
        </w:rPr>
      </w:r>
    </w:p>
    <w:p>
      <w:pPr>
        <w:pStyle w:val="87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7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Я, субъект персональных данных: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(Ф.И.О. полностью)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основной документ, удостоверяющий личность:_____________________________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наименование, серия, номер, дата выдачи, выдавший орган, код подразделения)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зарегистрированного(-ой) по адресу: ______________________________________________________________________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со ст. 9 Федерального закона от 27.07.2006 № 152-ФЗ «О персональных данных» даю конкретное, предметное</w:t>
      </w:r>
      <w:r>
        <w:rPr>
          <w:rFonts w:ascii="Times New Roman" w:hAnsi="Times New Roman" w:eastAsia="Times New Roman" w:cs="Times New Roman"/>
        </w:rPr>
        <w:t xml:space="preserve">, информированное, сознательное и однозначное согласие на обработку своих персональных данных, указанных в любой из частей заявки на участие в предварительном отборе на право включения ______________________________________________________________________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18"/>
          <w:szCs w:val="18"/>
        </w:rPr>
        <w:t xml:space="preserve">(наименование участника предварительного отбора и ИНН)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реестр квалифицированных подрядных организаций, имеющих право принимать участие в электронных аукционах, предметом которых является оказание услуг и (или) выполнени</w:t>
      </w:r>
      <w:r>
        <w:rPr>
          <w:rFonts w:ascii="Times New Roman" w:hAnsi="Times New Roman" w:eastAsia="Times New Roman" w:cs="Times New Roman"/>
        </w:rPr>
        <w:t xml:space="preserve">е работ по капитальному ремонту общего имущества многоквартирных домов (указать номер предварительного отбора) органу, уполномоченному на ведение реестра квалифицированных подрядных организаций (далее - РКПО), в соответствии с постановлением Правительства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Новосибирской области от 24.08.2016 № 242-п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- Министерству жилищно-коммунального хозяйства и энергетики Новосибирской области (ИНН 5406793110</w:t>
      </w:r>
      <w:r>
        <w:rPr>
          <w:rFonts w:ascii="Times New Roman" w:hAnsi="Times New Roman" w:eastAsia="Times New Roman" w:cs="Times New Roman"/>
        </w:rPr>
        <w:t xml:space="preserve">, далее - оператор), находящемуся по адресу: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630091, г. Новосибирск, ул. Фрунзе, 5, оф. 639,</w:t>
      </w:r>
      <w:r>
        <w:rPr>
          <w:rFonts w:ascii="Times New Roman" w:hAnsi="Times New Roman" w:eastAsia="Times New Roman" w:cs="Times New Roman"/>
        </w:rPr>
        <w:t xml:space="preserve"> с целью исполнения требований п. 25 и пп. в) п. 38 Положения, утвержденного постановлением Правительства Российской Федерации от 01.07.2016 № 615 «О порядке привлечения подря</w:t>
      </w:r>
      <w:r>
        <w:rPr>
          <w:rFonts w:ascii="Times New Roman" w:hAnsi="Times New Roman" w:eastAsia="Times New Roman" w:cs="Times New Roman"/>
        </w:rPr>
        <w:t xml:space="preserve">дных организаций для оказания услуг и (или) выполнения работ по капитальному ремонту общего имущества в многоквартирном доме, порядке осуществления закупок товаров, работ, услуг в целях выполнения функций специализированной некоммерческой организации, осущ</w:t>
      </w:r>
      <w:r>
        <w:rPr>
          <w:rFonts w:ascii="Times New Roman" w:hAnsi="Times New Roman" w:eastAsia="Times New Roman" w:cs="Times New Roman"/>
        </w:rPr>
        <w:t xml:space="preserve">ествляющей деятельность, направленную на обеспечение проведения капитального ремонта общего имущества в многоквартирных домах, о порядке осуществления специализированной некоммерческой организацией, осуществляющей деятельность, направленную на обеспечение </w:t>
      </w:r>
      <w:r>
        <w:rPr>
          <w:rFonts w:ascii="Times New Roman" w:hAnsi="Times New Roman" w:eastAsia="Times New Roman" w:cs="Times New Roman"/>
        </w:rPr>
        <w:t xml:space="preserve">проведения капитального ремонта общего имущества в многоквартирных домах, закупки товаров (материалов и оборудования, в том числе высокотехнологичного оборудования), необходимых для оказания услуг и (или) выполнения работ по капитальному ремонту общего иму</w:t>
      </w:r>
      <w:r>
        <w:rPr>
          <w:rFonts w:ascii="Times New Roman" w:hAnsi="Times New Roman" w:eastAsia="Times New Roman" w:cs="Times New Roman"/>
        </w:rPr>
        <w:t xml:space="preserve">щества в многоквартирном доме, и реализации закупленных и не использованных на проведение капитального ремонта общего имущества в многоквартирном доме товаров (материалов и оборудования, в том числе высокотехнологичного оборудования)» (далее - Положение).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Перечень моих персональных данных, на обработку которых я даю согласие: фамилия, имя, отчество (при наличии), дата рождения, номер основног</w:t>
      </w:r>
      <w:r>
        <w:rPr>
          <w:rFonts w:ascii="Times New Roman" w:hAnsi="Times New Roman" w:eastAsia="Times New Roman" w:cs="Times New Roman"/>
        </w:rPr>
        <w:t xml:space="preserve">о документа, удостоверяющего личность, страховой номер индивидуального лицевого счета, данные об образовании (диплом), данные подтверждающих соответствие уровня квалификации (сертификаты, аттестаты и удостоверения), а также данные о трудовой деятельности.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</w:rPr>
        <w:t xml:space="preserve">Разрешаю оператору производить автоматизированную, а также осуществляемую без использования средств автом</w:t>
      </w:r>
      <w:r>
        <w:rPr>
          <w:rFonts w:ascii="Times New Roman" w:hAnsi="Times New Roman" w:eastAsia="Times New Roman" w:cs="Times New Roman"/>
        </w:rPr>
        <w:t xml:space="preserve">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-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Министерству жилищно-коммунального хозяйства и энергетики Новосибирской области.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Согласие вступает в силу со дня его подписания и действуют в случае: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включения участника предварительного отбора (наименование участника предварительного отбора и ИНН) в РКПО по день исключения подрядной организации из РКПО на основании п. 66 Положения;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не включения в РКПО в течение срока, предусмотренного для обжалования решения Комиссии по предварительному отбору, установленного законодательством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Субъект персональных данных: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6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«           »          20     г. 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6"/>
        <w:ind w:left="0" w:right="0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6"/>
        <w:ind w:left="0" w:right="0" w:firstLine="709"/>
        <w:jc w:val="lef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76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(подпись)                           (Ф.И.О. с расшифровкой)                          (дата подписания согласия) </w:t>
      </w: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pStyle w:val="87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76"/>
        <w:ind w:left="0" w:right="0" w:firstLine="709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7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76"/>
        <w:ind w:left="0" w:right="0" w:firstLine="0"/>
        <w:jc w:val="left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Согласие на обработку персональных данных заполняется собственноручно синей ручкой</w:t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p>
      <w:pPr>
        <w:pStyle w:val="876"/>
        <w:ind w:left="0" w:right="0" w:firstLine="0"/>
        <w:jc w:val="left"/>
        <w:spacing w:before="0" w:after="160"/>
        <w:rPr>
          <w:rFonts w:ascii="Times New Roman" w:hAnsi="Times New Roman" w:cs="Times New Roman"/>
          <w:bCs/>
          <w:i/>
          <w:sz w:val="22"/>
          <w:szCs w:val="22"/>
          <w:highlight w:val="none"/>
        </w:rPr>
      </w:pPr>
      <w:r/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  <w:r>
        <w:rPr>
          <w:rFonts w:ascii="Times New Roman" w:hAnsi="Times New Roman" w:cs="Times New Roman"/>
          <w:bCs/>
          <w:i/>
          <w:sz w:val="22"/>
          <w:szCs w:val="22"/>
          <w:highlight w:val="none"/>
        </w:rPr>
      </w:r>
    </w:p>
    <w:sectPr>
      <w:headerReference w:type="default" r:id="rId14"/>
      <w:footnotePr/>
      <w:endnotePr/>
      <w:type w:val="nextPage"/>
      <w:pgSz w:w="11906" w:h="16838" w:orient="portrait"/>
      <w:pgMar w:top="1134" w:right="567" w:bottom="1134" w:left="1418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S Sans Serif">
    <w:panose1 w:val="02000603000000000000"/>
  </w:font>
  <w:font w:name="Times New Roman">
    <w:panose1 w:val="02020603050405020304"/>
  </w:font>
  <w:font w:name="Microsoft YaHei">
    <w:panose1 w:val="020B0503020203020204"/>
  </w:font>
  <w:font w:name="Courier New">
    <w:panose1 w:val="02070309020205020404"/>
  </w:font>
  <w:font w:name="Mangal">
    <w:panose1 w:val="02040503050406030204"/>
  </w:font>
  <w:font w:name="Wingdings">
    <w:panose1 w:val="05010000000000000000"/>
  </w:font>
  <w:font w:name="Liberation Sans">
    <w:panose1 w:val="020B060402020202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17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</w:p>
  <w:p>
    <w:pPr>
      <w:pStyle w:val="95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20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</w:p>
  <w:p>
    <w:pPr>
      <w:pStyle w:val="95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 xml:space="preserve">23</w:t>
    </w:r>
    <w:r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</w:r>
    <w:r>
      <w:rPr>
        <w:rFonts w:ascii="Times New Roman" w:hAnsi="Times New Roman" w:cs="Times New Roman"/>
      </w:rPr>
    </w:r>
  </w:p>
  <w:p>
    <w:pPr>
      <w:pStyle w:val="9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92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405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6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06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6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7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57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52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5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5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6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77">
    <w:name w:val="Heading 1"/>
    <w:basedOn w:val="8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78">
    <w:name w:val="Heading 2"/>
    <w:basedOn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79">
    <w:name w:val="Heading 3"/>
    <w:basedOn w:val="8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80">
    <w:name w:val="Heading 4"/>
    <w:basedOn w:val="8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8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82">
    <w:name w:val="Heading 6"/>
    <w:basedOn w:val="8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83">
    <w:name w:val="Heading 7"/>
    <w:basedOn w:val="8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84">
    <w:name w:val="Heading 8"/>
    <w:basedOn w:val="8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85">
    <w:name w:val="Heading 9"/>
    <w:basedOn w:val="8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6">
    <w:name w:val="Heading 1 Char"/>
    <w:basedOn w:val="908"/>
    <w:uiPriority w:val="9"/>
    <w:qFormat/>
    <w:rPr>
      <w:rFonts w:ascii="Arial" w:hAnsi="Arial" w:eastAsia="Arial" w:cs="Arial"/>
      <w:sz w:val="40"/>
      <w:szCs w:val="40"/>
    </w:rPr>
  </w:style>
  <w:style w:type="character" w:styleId="887">
    <w:name w:val="Heading 2 Char"/>
    <w:basedOn w:val="908"/>
    <w:uiPriority w:val="9"/>
    <w:qFormat/>
    <w:rPr>
      <w:rFonts w:ascii="Arial" w:hAnsi="Arial" w:eastAsia="Arial" w:cs="Arial"/>
      <w:sz w:val="34"/>
    </w:rPr>
  </w:style>
  <w:style w:type="character" w:styleId="888">
    <w:name w:val="Heading 3 Char"/>
    <w:basedOn w:val="908"/>
    <w:uiPriority w:val="9"/>
    <w:qFormat/>
    <w:rPr>
      <w:rFonts w:ascii="Arial" w:hAnsi="Arial" w:eastAsia="Arial" w:cs="Arial"/>
      <w:sz w:val="30"/>
      <w:szCs w:val="30"/>
    </w:rPr>
  </w:style>
  <w:style w:type="character" w:styleId="889">
    <w:name w:val="Heading 4 Char"/>
    <w:basedOn w:val="90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90">
    <w:name w:val="Heading 5 Char"/>
    <w:basedOn w:val="90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91">
    <w:name w:val="Heading 6 Char"/>
    <w:basedOn w:val="90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92">
    <w:name w:val="Heading 7 Char"/>
    <w:basedOn w:val="90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93">
    <w:name w:val="Heading 8 Char"/>
    <w:basedOn w:val="90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94">
    <w:name w:val="Heading 9 Char"/>
    <w:basedOn w:val="90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95">
    <w:name w:val="Title Char"/>
    <w:basedOn w:val="908"/>
    <w:uiPriority w:val="10"/>
    <w:qFormat/>
    <w:rPr>
      <w:sz w:val="48"/>
      <w:szCs w:val="48"/>
    </w:rPr>
  </w:style>
  <w:style w:type="character" w:styleId="896">
    <w:name w:val="Subtitle Char"/>
    <w:basedOn w:val="908"/>
    <w:uiPriority w:val="11"/>
    <w:qFormat/>
    <w:rPr>
      <w:sz w:val="24"/>
      <w:szCs w:val="24"/>
    </w:rPr>
  </w:style>
  <w:style w:type="character" w:styleId="897">
    <w:name w:val="Quote Char"/>
    <w:uiPriority w:val="29"/>
    <w:qFormat/>
    <w:rPr>
      <w:i/>
    </w:rPr>
  </w:style>
  <w:style w:type="character" w:styleId="898">
    <w:name w:val="Intense Quote Char"/>
    <w:uiPriority w:val="30"/>
    <w:qFormat/>
    <w:rPr>
      <w:i/>
    </w:rPr>
  </w:style>
  <w:style w:type="character" w:styleId="899">
    <w:name w:val="Header Char"/>
    <w:basedOn w:val="908"/>
    <w:uiPriority w:val="99"/>
    <w:qFormat/>
  </w:style>
  <w:style w:type="character" w:styleId="900">
    <w:name w:val="Footer Char"/>
    <w:basedOn w:val="908"/>
    <w:uiPriority w:val="99"/>
    <w:qFormat/>
  </w:style>
  <w:style w:type="character" w:styleId="901">
    <w:name w:val="Caption Char"/>
    <w:uiPriority w:val="99"/>
    <w:qFormat/>
  </w:style>
  <w:style w:type="character" w:styleId="902">
    <w:name w:val="Footnote Text Char"/>
    <w:uiPriority w:val="99"/>
    <w:qFormat/>
    <w:rPr>
      <w:sz w:val="18"/>
    </w:rPr>
  </w:style>
  <w:style w:type="character" w:styleId="903">
    <w:name w:val="Footnote Characters"/>
    <w:uiPriority w:val="99"/>
    <w:unhideWhenUsed/>
    <w:qFormat/>
    <w:rPr>
      <w:vertAlign w:val="superscript"/>
    </w:rPr>
  </w:style>
  <w:style w:type="character" w:styleId="904">
    <w:name w:val="footnote reference"/>
    <w:rPr>
      <w:vertAlign w:val="superscript"/>
    </w:rPr>
  </w:style>
  <w:style w:type="character" w:styleId="905">
    <w:name w:val="Endnote Text Char"/>
    <w:uiPriority w:val="99"/>
    <w:qFormat/>
    <w:rPr>
      <w:sz w:val="20"/>
    </w:rPr>
  </w:style>
  <w:style w:type="character" w:styleId="906">
    <w:name w:val="Endnote Characters"/>
    <w:uiPriority w:val="99"/>
    <w:semiHidden/>
    <w:unhideWhenUsed/>
    <w:qFormat/>
    <w:rPr>
      <w:vertAlign w:val="superscript"/>
    </w:rPr>
  </w:style>
  <w:style w:type="character" w:styleId="907">
    <w:name w:val="endnote reference"/>
    <w:rPr>
      <w:vertAlign w:val="superscript"/>
    </w:rPr>
  </w:style>
  <w:style w:type="character" w:styleId="908" w:default="1">
    <w:name w:val="Default Paragraph Font"/>
    <w:uiPriority w:val="1"/>
    <w:semiHidden/>
    <w:unhideWhenUsed/>
    <w:qFormat/>
  </w:style>
  <w:style w:type="character" w:styleId="909">
    <w:name w:val="Hyperlink"/>
    <w:basedOn w:val="908"/>
    <w:uiPriority w:val="99"/>
    <w:unhideWhenUsed/>
    <w:rPr>
      <w:color w:val="0563c1" w:themeColor="hyperlink"/>
      <w:u w:val="single"/>
    </w:rPr>
  </w:style>
  <w:style w:type="character" w:styleId="910" w:customStyle="1">
    <w:name w:val="Гипертекстовая ссылка"/>
    <w:basedOn w:val="908"/>
    <w:uiPriority w:val="99"/>
    <w:qFormat/>
    <w:rPr>
      <w:b/>
      <w:bCs/>
      <w:color w:val="106bbe"/>
    </w:rPr>
  </w:style>
  <w:style w:type="character" w:styleId="911">
    <w:name w:val="FollowedHyperlink"/>
    <w:basedOn w:val="908"/>
    <w:uiPriority w:val="99"/>
    <w:semiHidden/>
    <w:unhideWhenUsed/>
    <w:rPr>
      <w:color w:val="800080"/>
      <w:u w:val="single"/>
    </w:rPr>
  </w:style>
  <w:style w:type="character" w:styleId="912" w:customStyle="1">
    <w:name w:val="Верхний колонтитул Знак"/>
    <w:basedOn w:val="908"/>
    <w:uiPriority w:val="99"/>
    <w:qFormat/>
  </w:style>
  <w:style w:type="character" w:styleId="913" w:customStyle="1">
    <w:name w:val="Нижний колонтитул Знак"/>
    <w:basedOn w:val="908"/>
    <w:uiPriority w:val="99"/>
    <w:qFormat/>
  </w:style>
  <w:style w:type="character" w:styleId="914" w:customStyle="1">
    <w:name w:val="Текст выноски Знак"/>
    <w:basedOn w:val="908"/>
    <w:uiPriority w:val="99"/>
    <w:semiHidden/>
    <w:qFormat/>
    <w:rPr>
      <w:rFonts w:ascii="Tahoma" w:hAnsi="Tahoma" w:cs="Tahoma"/>
      <w:sz w:val="16"/>
      <w:szCs w:val="16"/>
    </w:rPr>
  </w:style>
  <w:style w:type="character" w:styleId="915" w:customStyle="1">
    <w:name w:val="Абзац списка Знак"/>
    <w:uiPriority w:val="34"/>
    <w:qFormat/>
  </w:style>
  <w:style w:type="paragraph" w:styleId="916">
    <w:name w:val="Heading"/>
    <w:basedOn w:val="876"/>
    <w:next w:val="9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917">
    <w:name w:val="Body Text"/>
    <w:basedOn w:val="876"/>
    <w:pPr>
      <w:spacing w:before="0" w:after="140" w:line="276" w:lineRule="auto"/>
    </w:pPr>
  </w:style>
  <w:style w:type="paragraph" w:styleId="918">
    <w:name w:val="List"/>
    <w:basedOn w:val="917"/>
    <w:rPr>
      <w:rFonts w:cs="Mangal"/>
    </w:rPr>
  </w:style>
  <w:style w:type="paragraph" w:styleId="919">
    <w:name w:val="Caption"/>
    <w:basedOn w:val="8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920">
    <w:name w:val="Index"/>
    <w:basedOn w:val="876"/>
    <w:qFormat/>
    <w:pPr>
      <w:suppressLineNumbers/>
    </w:pPr>
    <w:rPr>
      <w:rFonts w:cs="Mangal"/>
    </w:rPr>
  </w:style>
  <w:style w:type="paragraph" w:styleId="921">
    <w:name w:val="Title"/>
    <w:basedOn w:val="87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22">
    <w:name w:val="Subtitle"/>
    <w:basedOn w:val="876"/>
    <w:uiPriority w:val="11"/>
    <w:qFormat/>
    <w:pPr>
      <w:spacing w:before="200" w:after="200"/>
    </w:pPr>
    <w:rPr>
      <w:sz w:val="24"/>
      <w:szCs w:val="24"/>
    </w:rPr>
  </w:style>
  <w:style w:type="paragraph" w:styleId="923">
    <w:name w:val="Quote"/>
    <w:basedOn w:val="876"/>
    <w:uiPriority w:val="29"/>
    <w:qFormat/>
    <w:pPr>
      <w:ind w:left="720" w:right="720"/>
    </w:pPr>
    <w:rPr>
      <w:i/>
    </w:rPr>
  </w:style>
  <w:style w:type="paragraph" w:styleId="924">
    <w:name w:val="Intense Quote"/>
    <w:basedOn w:val="876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25">
    <w:name w:val="footnote text"/>
    <w:basedOn w:val="87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926">
    <w:name w:val="endnote text"/>
    <w:basedOn w:val="876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927">
    <w:name w:val="toc 1"/>
    <w:basedOn w:val="876"/>
    <w:uiPriority w:val="39"/>
    <w:unhideWhenUsed/>
    <w:pPr>
      <w:ind w:left="0" w:right="0" w:firstLine="0"/>
      <w:spacing w:before="0" w:after="57"/>
    </w:pPr>
  </w:style>
  <w:style w:type="paragraph" w:styleId="928">
    <w:name w:val="toc 2"/>
    <w:basedOn w:val="876"/>
    <w:uiPriority w:val="39"/>
    <w:unhideWhenUsed/>
    <w:pPr>
      <w:ind w:left="283" w:right="0" w:firstLine="0"/>
      <w:spacing w:before="0" w:after="57"/>
    </w:pPr>
  </w:style>
  <w:style w:type="paragraph" w:styleId="929">
    <w:name w:val="toc 3"/>
    <w:basedOn w:val="876"/>
    <w:uiPriority w:val="39"/>
    <w:unhideWhenUsed/>
    <w:pPr>
      <w:ind w:left="567" w:right="0" w:firstLine="0"/>
      <w:spacing w:before="0" w:after="57"/>
    </w:pPr>
  </w:style>
  <w:style w:type="paragraph" w:styleId="930">
    <w:name w:val="toc 4"/>
    <w:basedOn w:val="876"/>
    <w:uiPriority w:val="39"/>
    <w:unhideWhenUsed/>
    <w:pPr>
      <w:ind w:left="850" w:right="0" w:firstLine="0"/>
      <w:spacing w:before="0" w:after="57"/>
    </w:pPr>
  </w:style>
  <w:style w:type="paragraph" w:styleId="931">
    <w:name w:val="toc 5"/>
    <w:basedOn w:val="876"/>
    <w:uiPriority w:val="39"/>
    <w:unhideWhenUsed/>
    <w:pPr>
      <w:ind w:left="1134" w:right="0" w:firstLine="0"/>
      <w:spacing w:before="0" w:after="57"/>
    </w:pPr>
  </w:style>
  <w:style w:type="paragraph" w:styleId="932">
    <w:name w:val="toc 6"/>
    <w:basedOn w:val="876"/>
    <w:uiPriority w:val="39"/>
    <w:unhideWhenUsed/>
    <w:pPr>
      <w:ind w:left="1417" w:right="0" w:firstLine="0"/>
      <w:spacing w:before="0" w:after="57"/>
    </w:pPr>
  </w:style>
  <w:style w:type="paragraph" w:styleId="933">
    <w:name w:val="toc 7"/>
    <w:basedOn w:val="876"/>
    <w:uiPriority w:val="39"/>
    <w:unhideWhenUsed/>
    <w:pPr>
      <w:ind w:left="1701" w:right="0" w:firstLine="0"/>
      <w:spacing w:before="0" w:after="57"/>
    </w:pPr>
  </w:style>
  <w:style w:type="paragraph" w:styleId="934">
    <w:name w:val="toc 8"/>
    <w:basedOn w:val="876"/>
    <w:uiPriority w:val="39"/>
    <w:unhideWhenUsed/>
    <w:pPr>
      <w:ind w:left="1984" w:right="0" w:firstLine="0"/>
      <w:spacing w:before="0" w:after="57"/>
    </w:pPr>
  </w:style>
  <w:style w:type="paragraph" w:styleId="935">
    <w:name w:val="toc 9"/>
    <w:basedOn w:val="876"/>
    <w:uiPriority w:val="39"/>
    <w:unhideWhenUsed/>
    <w:pPr>
      <w:ind w:left="2268" w:right="0" w:firstLine="0"/>
      <w:spacing w:before="0" w:after="57"/>
    </w:pPr>
  </w:style>
  <w:style w:type="paragraph" w:styleId="936">
    <w:name w:val="Index Heading"/>
    <w:basedOn w:val="916"/>
  </w:style>
  <w:style w:type="paragraph" w:styleId="937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38">
    <w:name w:val="table of figures"/>
    <w:basedOn w:val="876"/>
    <w:uiPriority w:val="99"/>
    <w:unhideWhenUsed/>
    <w:pPr>
      <w:spacing w:before="0" w:after="0" w:afterAutospacing="0"/>
    </w:pPr>
  </w:style>
  <w:style w:type="paragraph" w:styleId="939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Arial" w:hAnsi="Arial" w:eastAsia="Times New Roman" w:cs="Arial" w:cstheme="minorBidi"/>
      <w:color w:val="auto"/>
      <w:sz w:val="24"/>
      <w:szCs w:val="24"/>
      <w:lang w:val="ru-RU" w:eastAsia="ru-RU" w:bidi="ar-SA"/>
    </w:rPr>
  </w:style>
  <w:style w:type="paragraph" w:styleId="940" w:customStyle="1">
    <w:name w:val="xl63"/>
    <w:basedOn w:val="87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941" w:customStyle="1">
    <w:name w:val="xl65"/>
    <w:basedOn w:val="87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942" w:customStyle="1">
    <w:name w:val="xl64"/>
    <w:basedOn w:val="876"/>
    <w:qFormat/>
    <w:pPr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943" w:customStyle="1">
    <w:name w:val="xl66"/>
    <w:basedOn w:val="876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944" w:customStyle="1">
    <w:name w:val="xl67"/>
    <w:basedOn w:val="876"/>
    <w:qFormat/>
    <w:pPr>
      <w:jc w:val="center"/>
      <w:spacing w:beforeAutospacing="1" w:afterAutospacing="1" w:line="240" w:lineRule="auto"/>
      <w:pBdr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5" w:customStyle="1">
    <w:name w:val="xl68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946" w:customStyle="1">
    <w:name w:val="xl69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947" w:customStyle="1">
    <w:name w:val="xl70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948" w:customStyle="1">
    <w:name w:val="xl71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color w:val="000000"/>
      <w:lang w:eastAsia="ru-RU"/>
    </w:rPr>
  </w:style>
  <w:style w:type="paragraph" w:styleId="949" w:customStyle="1">
    <w:name w:val="xl72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left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950" w:customStyle="1">
    <w:name w:val="xl73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951" w:customStyle="1">
    <w:name w:val="xl74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Calibri" w:hAnsi="Calibri" w:eastAsia="Times New Roman" w:cs="Times New Roman"/>
      <w:b/>
      <w:bCs/>
      <w:color w:val="000000"/>
      <w:lang w:eastAsia="ru-RU"/>
    </w:rPr>
  </w:style>
  <w:style w:type="paragraph" w:styleId="952" w:customStyle="1">
    <w:name w:val="xl75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3" w:customStyle="1">
    <w:name w:val="xl76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4" w:customStyle="1">
    <w:name w:val="xl77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955" w:customStyle="1">
    <w:name w:val="xl78"/>
    <w:basedOn w:val="876"/>
    <w:qFormat/>
    <w:pPr>
      <w:jc w:val="center"/>
      <w:spacing w:beforeAutospacing="1" w:afterAutospacing="1" w:line="240" w:lineRule="auto"/>
      <w:pBdr>
        <w:top w:val="single" w:color="D0D7E5" w:sz="4" w:space="0"/>
        <w:bottom w:val="single" w:color="D0D7E5" w:sz="4" w:space="0"/>
        <w:right w:val="single" w:color="D0D7E5" w:sz="4" w:space="0"/>
      </w:pBdr>
    </w:pPr>
    <w:rPr>
      <w:rFonts w:ascii="MS Sans Serif" w:hAnsi="MS Sans Serif" w:eastAsia="Times New Roman" w:cs="Times New Roman"/>
      <w:b/>
      <w:bCs/>
      <w:sz w:val="24"/>
      <w:szCs w:val="24"/>
      <w:lang w:eastAsia="ru-RU"/>
    </w:rPr>
  </w:style>
  <w:style w:type="paragraph" w:styleId="956">
    <w:name w:val="List Paragraph"/>
    <w:basedOn w:val="876"/>
    <w:uiPriority w:val="34"/>
    <w:qFormat/>
    <w:pPr>
      <w:contextualSpacing/>
      <w:ind w:left="720"/>
      <w:spacing w:before="0" w:after="160"/>
    </w:pPr>
  </w:style>
  <w:style w:type="paragraph" w:styleId="957">
    <w:name w:val="Header and Footer"/>
    <w:basedOn w:val="876"/>
    <w:qFormat/>
  </w:style>
  <w:style w:type="paragraph" w:styleId="958">
    <w:name w:val="Header"/>
    <w:basedOn w:val="87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59">
    <w:name w:val="Footer"/>
    <w:basedOn w:val="876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60">
    <w:name w:val="Balloon Text"/>
    <w:basedOn w:val="876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numbering" w:styleId="961" w:default="1">
    <w:name w:val="No List"/>
    <w:uiPriority w:val="99"/>
    <w:semiHidden/>
    <w:unhideWhenUsed/>
    <w:qFormat/>
  </w:style>
  <w:style w:type="table" w:styleId="9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hyperlink" Target="http://www.mjkh.nso.ru/page/724." TargetMode="External"/><Relationship Id="rId17" Type="http://schemas.openxmlformats.org/officeDocument/2006/relationships/hyperlink" Target="consultantplus://offline/ref=1A5ACDC7DDF8F0887A5F947293FE2CE5F6F787A58646A3FC26F6FA80EC4498F2B4F4B29DE25C6665B142ABBE2349634291F5A8A8AAE2S3H" TargetMode="External"/><Relationship Id="rId18" Type="http://schemas.openxmlformats.org/officeDocument/2006/relationships/hyperlink" Target="consultantplus://offline/ref=A2283303C7D254AD7348380E740FF25A10E2ED22CEB7A37225481EC656EC239C45C4E1787FF2A849uEg7B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D63C9-CC00-4C33-B765-DA9C8ED16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dc:description/>
  <dc:language>ru-RU</dc:language>
  <cp:revision>104</cp:revision>
  <dcterms:created xsi:type="dcterms:W3CDTF">2021-11-15T02:29:00Z</dcterms:created>
  <dcterms:modified xsi:type="dcterms:W3CDTF">2026-04-09T04:54:35Z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